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09D6" w:rsidRPr="00B266B0" w:rsidRDefault="000C2CF1"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8705F4">
        <w:rPr>
          <w:bCs/>
          <w:noProof w:val="0"/>
          <w:sz w:val="24"/>
          <w:szCs w:val="24"/>
        </w:rPr>
        <w:t>7</w:t>
      </w:r>
      <w:r w:rsidR="00A209D6" w:rsidRPr="00B266B0">
        <w:rPr>
          <w:bCs/>
          <w:noProof w:val="0"/>
          <w:sz w:val="24"/>
          <w:szCs w:val="24"/>
        </w:rPr>
        <w:tab/>
      </w:r>
      <w:r w:rsidR="00B76BA8" w:rsidRPr="00B76BA8">
        <w:rPr>
          <w:bCs/>
          <w:noProof w:val="0"/>
          <w:sz w:val="24"/>
          <w:szCs w:val="24"/>
        </w:rPr>
        <w:t>R2-190</w:t>
      </w:r>
      <w:r w:rsidR="008705F4">
        <w:rPr>
          <w:bCs/>
          <w:noProof w:val="0"/>
          <w:sz w:val="24"/>
          <w:szCs w:val="24"/>
        </w:rPr>
        <w:t>9296</w:t>
      </w:r>
    </w:p>
    <w:p w:rsidR="00A209D6" w:rsidRPr="00465587" w:rsidRDefault="008705F4" w:rsidP="00A209D6">
      <w:pPr>
        <w:pStyle w:val="Header"/>
        <w:tabs>
          <w:tab w:val="right" w:pos="9639"/>
        </w:tabs>
        <w:rPr>
          <w:bCs/>
          <w:sz w:val="24"/>
          <w:szCs w:val="24"/>
          <w:lang w:eastAsia="zh-CN"/>
        </w:rPr>
      </w:pPr>
      <w:r>
        <w:rPr>
          <w:bCs/>
          <w:sz w:val="24"/>
          <w:szCs w:val="24"/>
          <w:lang w:eastAsia="zh-CN"/>
        </w:rPr>
        <w:t>Prague</w:t>
      </w:r>
      <w:r w:rsidR="000C2CF1" w:rsidRPr="00094568">
        <w:rPr>
          <w:bCs/>
          <w:sz w:val="24"/>
          <w:szCs w:val="24"/>
          <w:lang w:eastAsia="zh-CN"/>
        </w:rPr>
        <w:t xml:space="preserve">, </w:t>
      </w:r>
      <w:r>
        <w:rPr>
          <w:bCs/>
          <w:sz w:val="24"/>
          <w:szCs w:val="24"/>
          <w:lang w:eastAsia="zh-CN"/>
        </w:rPr>
        <w:t>Czechia</w:t>
      </w:r>
      <w:r w:rsidR="000C2CF1" w:rsidRPr="00094568">
        <w:rPr>
          <w:bCs/>
          <w:sz w:val="24"/>
          <w:szCs w:val="24"/>
          <w:lang w:eastAsia="zh-CN"/>
        </w:rPr>
        <w:t xml:space="preserve">, </w:t>
      </w:r>
      <w:r>
        <w:rPr>
          <w:bCs/>
          <w:sz w:val="24"/>
          <w:szCs w:val="24"/>
          <w:lang w:eastAsia="zh-CN"/>
        </w:rPr>
        <w:t>26th</w:t>
      </w:r>
      <w:r w:rsidR="000C2CF1" w:rsidRPr="00094568">
        <w:rPr>
          <w:bCs/>
          <w:sz w:val="24"/>
          <w:szCs w:val="24"/>
          <w:lang w:eastAsia="zh-CN"/>
        </w:rPr>
        <w:t xml:space="preserve"> – </w:t>
      </w:r>
      <w:r>
        <w:rPr>
          <w:bCs/>
          <w:sz w:val="24"/>
          <w:szCs w:val="24"/>
          <w:lang w:eastAsia="zh-CN"/>
        </w:rPr>
        <w:t>30th</w:t>
      </w:r>
      <w:r w:rsidR="000C2CF1" w:rsidRPr="00094568">
        <w:rPr>
          <w:bCs/>
          <w:sz w:val="24"/>
          <w:szCs w:val="24"/>
          <w:lang w:eastAsia="zh-CN"/>
        </w:rPr>
        <w:t xml:space="preserve"> </w:t>
      </w:r>
      <w:r>
        <w:rPr>
          <w:bCs/>
          <w:sz w:val="24"/>
          <w:szCs w:val="24"/>
          <w:lang w:eastAsia="zh-CN"/>
        </w:rPr>
        <w:t>of August</w:t>
      </w:r>
      <w:r w:rsidR="000C2CF1" w:rsidRPr="00094568">
        <w:rPr>
          <w:bCs/>
          <w:sz w:val="24"/>
          <w:szCs w:val="24"/>
          <w:lang w:eastAsia="zh-CN"/>
        </w:rPr>
        <w:t xml:space="preserve"> 2019</w:t>
      </w:r>
      <w:r w:rsidR="00A209D6">
        <w:rPr>
          <w:noProof w:val="0"/>
          <w:sz w:val="24"/>
          <w:szCs w:val="24"/>
          <w:lang w:eastAsia="zh-CN"/>
        </w:rPr>
        <w:tab/>
      </w:r>
      <w:r w:rsidR="006B5AE2" w:rsidRPr="006B5AE2">
        <w:rPr>
          <w:noProof w:val="0"/>
          <w:sz w:val="16"/>
          <w:szCs w:val="16"/>
          <w:lang w:eastAsia="zh-CN"/>
        </w:rPr>
        <w:t xml:space="preserve">revision of </w:t>
      </w:r>
      <w:r w:rsidR="000C2CF1" w:rsidRPr="006B5AE2">
        <w:rPr>
          <w:i/>
          <w:noProof w:val="0"/>
          <w:sz w:val="16"/>
          <w:szCs w:val="16"/>
          <w:lang w:eastAsia="zh-CN"/>
        </w:rPr>
        <w:t>R2-190</w:t>
      </w:r>
      <w:r w:rsidRPr="006B5AE2">
        <w:rPr>
          <w:i/>
          <w:noProof w:val="0"/>
          <w:sz w:val="16"/>
          <w:szCs w:val="16"/>
          <w:lang w:eastAsia="zh-CN"/>
        </w:rPr>
        <w:t>6184</w:t>
      </w:r>
    </w:p>
    <w:p w:rsidR="00A209D6" w:rsidRPr="00B266B0" w:rsidRDefault="00A209D6" w:rsidP="00A209D6">
      <w:pPr>
        <w:pStyle w:val="Header"/>
        <w:rPr>
          <w:bCs/>
          <w:noProof w:val="0"/>
          <w:sz w:val="24"/>
        </w:rPr>
      </w:pPr>
    </w:p>
    <w:p w:rsidR="00A209D6" w:rsidRPr="00B266B0" w:rsidRDefault="00A209D6" w:rsidP="00A209D6">
      <w:pPr>
        <w:pStyle w:val="Header"/>
        <w:rPr>
          <w:bCs/>
          <w:noProof w:val="0"/>
          <w:sz w:val="24"/>
        </w:rPr>
      </w:pPr>
      <w:bookmarkStart w:id="0" w:name="_GoBack"/>
      <w:bookmarkEnd w:id="0"/>
    </w:p>
    <w:p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430B">
        <w:rPr>
          <w:rFonts w:cs="Arial"/>
          <w:b/>
          <w:bCs/>
          <w:sz w:val="24"/>
        </w:rPr>
        <w:t>12.3.</w:t>
      </w:r>
      <w:r w:rsidR="008705F4">
        <w:rPr>
          <w:rFonts w:cs="Arial"/>
          <w:b/>
          <w:bCs/>
          <w:sz w:val="24"/>
        </w:rPr>
        <w:t>4</w:t>
      </w:r>
    </w:p>
    <w:p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4426367"/>
      <w:r w:rsidR="009443DA">
        <w:rPr>
          <w:rFonts w:ascii="Arial" w:hAnsi="Arial" w:cs="Arial"/>
          <w:b/>
          <w:bCs/>
          <w:sz w:val="24"/>
        </w:rPr>
        <w:t>Improved Uplink Power Boosting During Handover</w:t>
      </w:r>
      <w:bookmarkEnd w:id="1"/>
    </w:p>
    <w:p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C35A3">
        <w:rPr>
          <w:rFonts w:ascii="Arial" w:hAnsi="Arial" w:cs="Arial"/>
          <w:b/>
          <w:bCs/>
          <w:sz w:val="24"/>
        </w:rPr>
        <w:t>LTE_feMOB</w:t>
      </w:r>
      <w:proofErr w:type="spellEnd"/>
      <w:r w:rsidRPr="00112F1A">
        <w:rPr>
          <w:rFonts w:ascii="Arial" w:hAnsi="Arial" w:cs="Arial"/>
          <w:b/>
          <w:bCs/>
          <w:sz w:val="24"/>
        </w:rPr>
        <w:t xml:space="preserve">-Core </w:t>
      </w:r>
      <w:r>
        <w:rPr>
          <w:rFonts w:ascii="Arial" w:hAnsi="Arial" w:cs="Arial"/>
          <w:b/>
          <w:bCs/>
          <w:sz w:val="24"/>
        </w:rPr>
        <w:t>- Release 1</w:t>
      </w:r>
      <w:r w:rsidR="00FC35A3">
        <w:rPr>
          <w:rFonts w:ascii="Arial" w:hAnsi="Arial" w:cs="Arial"/>
          <w:b/>
          <w:bCs/>
          <w:sz w:val="24"/>
        </w:rPr>
        <w:t>6</w:t>
      </w:r>
    </w:p>
    <w:p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A209D6" w:rsidRPr="006E13D1" w:rsidRDefault="00A209D6" w:rsidP="00A209D6">
      <w:pPr>
        <w:pStyle w:val="Heading1"/>
      </w:pPr>
      <w:r w:rsidRPr="006E13D1">
        <w:t>1</w:t>
      </w:r>
      <w:r w:rsidRPr="006E13D1">
        <w:tab/>
      </w:r>
      <w:r>
        <w:t>Introduction</w:t>
      </w:r>
    </w:p>
    <w:p w:rsidR="006D51F7" w:rsidRDefault="00BD430B" w:rsidP="006D51F7">
      <w:r>
        <w:t>One of the objectives of the LTE mobility WID is improv</w:t>
      </w:r>
      <w:r w:rsidR="00F22936">
        <w:t>ing</w:t>
      </w:r>
      <w:r>
        <w:t xml:space="preserve"> the mobility robustness</w:t>
      </w:r>
      <w:r w:rsidR="00F22936">
        <w:t xml:space="preserve"> during handover </w:t>
      </w:r>
      <w:r w:rsidR="002A3480">
        <w:t xml:space="preserve">(see </w:t>
      </w:r>
      <w:hyperlink r:id="rId12" w:history="1">
        <w:r w:rsidR="002A3480">
          <w:rPr>
            <w:rStyle w:val="Hyperlink"/>
          </w:rPr>
          <w:t>RP-181544</w:t>
        </w:r>
      </w:hyperlink>
      <w:r w:rsidR="002A3480">
        <w:t>).</w:t>
      </w:r>
      <w:r w:rsidR="0048759F">
        <w:t xml:space="preserve"> </w:t>
      </w:r>
      <w:r w:rsidR="00980964">
        <w:t xml:space="preserve">This document </w:t>
      </w:r>
      <w:r w:rsidR="0048759F">
        <w:t>discusses an</w:t>
      </w:r>
      <w:r w:rsidR="001808F2">
        <w:t xml:space="preserve"> enhancement </w:t>
      </w:r>
      <w:r w:rsidR="0048759F">
        <w:t xml:space="preserve">to an issue seen in real deployment </w:t>
      </w:r>
      <w:r w:rsidR="00A211BE">
        <w:t xml:space="preserve">for reducing RLF during handover cause by UE lack </w:t>
      </w:r>
      <w:r w:rsidR="00A211BE" w:rsidRPr="00A211BE">
        <w:t xml:space="preserve">initialization </w:t>
      </w:r>
      <w:r w:rsidR="00A211BE">
        <w:t>transmission power</w:t>
      </w:r>
      <w:r w:rsidR="00A209D6">
        <w:t>.</w:t>
      </w:r>
      <w:r w:rsidR="00A211BE">
        <w:t xml:space="preserve"> </w:t>
      </w:r>
    </w:p>
    <w:p w:rsidR="00A209D6" w:rsidRPr="006E13D1" w:rsidRDefault="0048759F" w:rsidP="00A209D6">
      <w:pPr>
        <w:pStyle w:val="Heading1"/>
      </w:pPr>
      <w:r>
        <w:t>2</w:t>
      </w:r>
      <w:r w:rsidR="006D05FC">
        <w:tab/>
      </w:r>
      <w:r w:rsidR="003A4B2A">
        <w:t>Uplink power control during handover</w:t>
      </w:r>
    </w:p>
    <w:p w:rsidR="00EE0690" w:rsidRDefault="00D3263D" w:rsidP="00D3263D">
      <w:r>
        <w:t xml:space="preserve">LTE cells may </w:t>
      </w:r>
      <w:r w:rsidR="0004221B">
        <w:t xml:space="preserve">be </w:t>
      </w:r>
      <w:r>
        <w:t>deployed in low frequency band (e.g. 800 MHz) and on high(</w:t>
      </w:r>
      <w:proofErr w:type="spellStart"/>
      <w:r>
        <w:t>er</w:t>
      </w:r>
      <w:proofErr w:type="spellEnd"/>
      <w:r>
        <w:t>) frequency (e.g. 2 GHz) band, are often equipped with the same P0_UE using e.g. default value 0</w:t>
      </w:r>
      <w:r w:rsidR="003A4B2A">
        <w:t>, with the intent</w:t>
      </w:r>
      <w:r w:rsidR="00EE0690">
        <w:t xml:space="preserve"> </w:t>
      </w:r>
      <w:r>
        <w:t xml:space="preserve">to manage </w:t>
      </w:r>
      <w:r w:rsidR="003A4B2A">
        <w:t xml:space="preserve">UL </w:t>
      </w:r>
      <w:r>
        <w:t xml:space="preserve">PC mainly </w:t>
      </w:r>
      <w:r w:rsidR="003A4B2A">
        <w:t>via</w:t>
      </w:r>
      <w:r>
        <w:t xml:space="preserve"> closed loop </w:t>
      </w:r>
      <w:r w:rsidR="003A4B2A">
        <w:t xml:space="preserve">PC </w:t>
      </w:r>
      <w:r>
        <w:t xml:space="preserve">commands </w:t>
      </w:r>
      <w:r w:rsidR="003A4B2A">
        <w:t xml:space="preserve">sent by </w:t>
      </w:r>
      <w:r>
        <w:t xml:space="preserve">the </w:t>
      </w:r>
      <w:proofErr w:type="spellStart"/>
      <w:r>
        <w:t>eNB</w:t>
      </w:r>
      <w:proofErr w:type="spellEnd"/>
      <w:r>
        <w:t>.</w:t>
      </w:r>
      <w:r w:rsidR="003A4B2A">
        <w:t xml:space="preserve"> However, the TPC accumulation is always reset during handover as per TS36.213, which may lead to issues in case the P0 values differ between the source and target </w:t>
      </w:r>
      <w:proofErr w:type="spellStart"/>
      <w:r w:rsidR="003A4B2A">
        <w:t>eNBs</w:t>
      </w:r>
      <w:proofErr w:type="spellEnd"/>
      <w:r w:rsidR="003A4B2A">
        <w:t>.</w:t>
      </w:r>
    </w:p>
    <w:p w:rsidR="003A4B2A" w:rsidRDefault="008140B3" w:rsidP="00A209D6">
      <w:r>
        <w:rPr>
          <w:b/>
        </w:rPr>
        <w:t>Observation 1</w:t>
      </w:r>
      <w:r w:rsidR="00E33BF2" w:rsidRPr="00B84DB2">
        <w:rPr>
          <w:b/>
        </w:rPr>
        <w:t>:</w:t>
      </w:r>
      <w:r w:rsidR="00E33BF2">
        <w:rPr>
          <w:b/>
        </w:rPr>
        <w:t xml:space="preserve"> </w:t>
      </w:r>
      <w:r w:rsidR="003A4B2A" w:rsidRPr="003A4B2A">
        <w:t>If d</w:t>
      </w:r>
      <w:r w:rsidR="00E33BF2" w:rsidRPr="00E33BF2">
        <w:t>ifferent P0_UE value</w:t>
      </w:r>
      <w:r w:rsidR="003A4B2A">
        <w:t>s are used</w:t>
      </w:r>
      <w:r w:rsidR="00E33BF2" w:rsidRPr="00E33BF2">
        <w:t xml:space="preserve"> in </w:t>
      </w:r>
      <w:r w:rsidR="00FF2897">
        <w:t>source</w:t>
      </w:r>
      <w:r w:rsidR="003A4B2A">
        <w:t xml:space="preserve"> and </w:t>
      </w:r>
      <w:r w:rsidR="00E33BF2" w:rsidRPr="00E33BF2">
        <w:t>target cell</w:t>
      </w:r>
      <w:r w:rsidR="003A4B2A">
        <w:t>s, UE</w:t>
      </w:r>
      <w:r w:rsidR="00E33BF2" w:rsidRPr="00E33BF2">
        <w:t xml:space="preserve"> will </w:t>
      </w:r>
      <w:r w:rsidR="003A4B2A">
        <w:t>reset the TPC</w:t>
      </w:r>
      <w:r w:rsidR="00E33BF2" w:rsidRPr="00E33BF2">
        <w:t xml:space="preserve"> accumulation </w:t>
      </w:r>
      <w:r w:rsidR="003A4B2A">
        <w:t>during handover.</w:t>
      </w:r>
    </w:p>
    <w:p w:rsidR="00EC06F3" w:rsidRDefault="003A4B2A" w:rsidP="00EC06F3">
      <w:r>
        <w:t xml:space="preserve">When the TCP accumulation is reset, it may happen that </w:t>
      </w:r>
      <w:r w:rsidR="00E33BF2" w:rsidRPr="00E33BF2">
        <w:t xml:space="preserve">the </w:t>
      </w:r>
      <w:r>
        <w:t xml:space="preserve">P0 </w:t>
      </w:r>
      <w:r w:rsidR="00E33BF2" w:rsidRPr="00E33BF2">
        <w:t xml:space="preserve">value can’t boost </w:t>
      </w:r>
      <w:r>
        <w:t xml:space="preserve">UL </w:t>
      </w:r>
      <w:r w:rsidR="00E33BF2" w:rsidRPr="00E33BF2">
        <w:t xml:space="preserve">power </w:t>
      </w:r>
      <w:r>
        <w:t xml:space="preserve">enough </w:t>
      </w:r>
      <w:r w:rsidR="00E33BF2" w:rsidRPr="00E33BF2">
        <w:t xml:space="preserve">or too </w:t>
      </w:r>
      <w:r>
        <w:t xml:space="preserve">many </w:t>
      </w:r>
      <w:r w:rsidR="00E33BF2" w:rsidRPr="00E33BF2">
        <w:t xml:space="preserve">power ramping steps </w:t>
      </w:r>
      <w:r>
        <w:t xml:space="preserve">are </w:t>
      </w:r>
      <w:r w:rsidR="00E33BF2" w:rsidRPr="00E33BF2">
        <w:t>required for uplink initialization transmission</w:t>
      </w:r>
      <w:r>
        <w:t>. This can lead to RLF due to UL transmission problems</w:t>
      </w:r>
      <w:r w:rsidR="004B0423">
        <w:t xml:space="preserve"> when executing the handover, and </w:t>
      </w:r>
      <w:r w:rsidR="00EC06F3">
        <w:t xml:space="preserve">the UE located at the edge of </w:t>
      </w:r>
      <w:r w:rsidR="00FF2897">
        <w:t xml:space="preserve">cell </w:t>
      </w:r>
      <w:r w:rsidR="004B0423">
        <w:t xml:space="preserve">may </w:t>
      </w:r>
      <w:r w:rsidR="00EC06F3">
        <w:t>require additional TPC commands to compensate the reset of the previous TPC accumulation</w:t>
      </w:r>
      <w:r w:rsidR="004B0423">
        <w:t xml:space="preserve">. In the worst case, this can case </w:t>
      </w:r>
      <w:r w:rsidR="00EC06F3">
        <w:t xml:space="preserve">all downlink transmission to the UE </w:t>
      </w:r>
      <w:r w:rsidR="004B0423">
        <w:t xml:space="preserve">to </w:t>
      </w:r>
      <w:r w:rsidR="00EC06F3">
        <w:t xml:space="preserve">be </w:t>
      </w:r>
      <w:proofErr w:type="spellStart"/>
      <w:r w:rsidR="00EC06F3">
        <w:t>DTXed</w:t>
      </w:r>
      <w:proofErr w:type="spellEnd"/>
      <w:r w:rsidR="00EC06F3">
        <w:t xml:space="preserve"> and the UE </w:t>
      </w:r>
      <w:proofErr w:type="spellStart"/>
      <w:r w:rsidR="00EC06F3">
        <w:t>perform</w:t>
      </w:r>
      <w:r w:rsidR="004B0423">
        <w:t>ijng</w:t>
      </w:r>
      <w:proofErr w:type="spellEnd"/>
      <w:r w:rsidR="00EC06F3">
        <w:t xml:space="preserve"> reestablishment in the source</w:t>
      </w:r>
      <w:r w:rsidR="007E3B1E">
        <w:t xml:space="preserve"> </w:t>
      </w:r>
      <w:r w:rsidR="00EC06F3">
        <w:t>cell</w:t>
      </w:r>
      <w:r w:rsidR="004B0423">
        <w:t xml:space="preserve">, after which the </w:t>
      </w:r>
      <w:r w:rsidR="00EC06F3">
        <w:t>handover procedure</w:t>
      </w:r>
      <w:r w:rsidR="004B0423">
        <w:t xml:space="preserve"> may be redone again, repeating the same end result</w:t>
      </w:r>
      <w:r w:rsidR="00EC06F3">
        <w:t>.</w:t>
      </w:r>
      <w:r w:rsidR="004B0423">
        <w:t xml:space="preserve"> Such repeated </w:t>
      </w:r>
      <w:r w:rsidR="00EC06F3">
        <w:t>handover</w:t>
      </w:r>
      <w:r w:rsidR="004B0423">
        <w:t>s</w:t>
      </w:r>
      <w:r w:rsidR="00EC06F3">
        <w:t xml:space="preserve"> will increase transmission latency</w:t>
      </w:r>
      <w:r w:rsidR="004B0423">
        <w:t xml:space="preserve"> and </w:t>
      </w:r>
      <w:r w:rsidR="00EC06F3">
        <w:t>may also result in a call drop in the worst case.</w:t>
      </w:r>
    </w:p>
    <w:p w:rsidR="004B0423" w:rsidRDefault="004B0423" w:rsidP="00EC06F3">
      <w:r w:rsidRPr="004B0423">
        <w:rPr>
          <w:b/>
        </w:rPr>
        <w:t>Observation 2:</w:t>
      </w:r>
      <w:r>
        <w:t xml:space="preserve"> Resetting the TPC accumulation at handover may lead to RLF with different P0 at source and target cell.</w:t>
      </w:r>
    </w:p>
    <w:p w:rsidR="00484A77" w:rsidRDefault="00D65E3D" w:rsidP="00484A77">
      <w:r>
        <w:t xml:space="preserve">Similar situation </w:t>
      </w:r>
      <w:r w:rsidR="004B0423">
        <w:t>can</w:t>
      </w:r>
      <w:r>
        <w:t xml:space="preserve"> occur also i</w:t>
      </w:r>
      <w:r w:rsidRPr="00EC06F3">
        <w:t xml:space="preserve">f </w:t>
      </w:r>
      <w:proofErr w:type="spellStart"/>
      <w:r w:rsidRPr="00EC06F3">
        <w:t>eNB</w:t>
      </w:r>
      <w:proofErr w:type="spellEnd"/>
      <w:r w:rsidRPr="00EC06F3">
        <w:t xml:space="preserve"> configures open loop parameters</w:t>
      </w:r>
      <w:r>
        <w:t xml:space="preserve"> and the accuracy of open loop uplink</w:t>
      </w:r>
      <w:r w:rsidRPr="00EC06F3">
        <w:t xml:space="preserve"> PC is not good</w:t>
      </w:r>
      <w:r>
        <w:t xml:space="preserve">, since </w:t>
      </w:r>
      <w:r w:rsidR="00EC06F3" w:rsidRPr="00EC06F3">
        <w:t>large tolerance is allowed for the UE to set its power f</w:t>
      </w:r>
      <w:r w:rsidR="004A2362">
        <w:t>or the first uplink</w:t>
      </w:r>
      <w:r w:rsidR="00EC06F3" w:rsidRPr="00EC06F3">
        <w:t xml:space="preserve"> transmission</w:t>
      </w:r>
      <w:r w:rsidR="004B0423">
        <w:t>: With the open loop power control,</w:t>
      </w:r>
      <w:r w:rsidR="00484A77">
        <w:t xml:space="preserve"> </w:t>
      </w:r>
      <w:r w:rsidR="008140B3">
        <w:t>UE</w:t>
      </w:r>
      <w:r w:rsidR="00484A77">
        <w:t xml:space="preserve"> estimates the path loss of its own transmit link according to the received downlink common reference signal fading condition, and calculates its own transmit power through the power control formula</w:t>
      </w:r>
      <w:r w:rsidR="004B0423">
        <w:t xml:space="preserve">. The open loop PC </w:t>
      </w:r>
      <w:r w:rsidR="00484A77">
        <w:t xml:space="preserve">is characterized </w:t>
      </w:r>
      <w:r w:rsidR="004B0423">
        <w:t>by not requiring</w:t>
      </w:r>
      <w:r w:rsidR="008140B3">
        <w:t xml:space="preserve"> </w:t>
      </w:r>
      <w:r w:rsidR="004B0423">
        <w:t xml:space="preserve">UE </w:t>
      </w:r>
      <w:r w:rsidR="008140B3">
        <w:t>to feed</w:t>
      </w:r>
      <w:r w:rsidR="00484A77">
        <w:t xml:space="preserve">back information to the base station, nor </w:t>
      </w:r>
      <w:r w:rsidR="008140B3">
        <w:t>w</w:t>
      </w:r>
      <w:r w:rsidR="00484A77">
        <w:t>aiting for the power control command</w:t>
      </w:r>
      <w:r w:rsidR="004B0423">
        <w:t>s from</w:t>
      </w:r>
      <w:r w:rsidR="00484A77">
        <w:t xml:space="preserve"> the base station.</w:t>
      </w:r>
      <w:r w:rsidR="004B0423">
        <w:t xml:space="preserve"> However, t</w:t>
      </w:r>
      <w:r w:rsidR="00484A77">
        <w:t xml:space="preserve">he open loop power control is mainly </w:t>
      </w:r>
      <w:r w:rsidR="004B0423">
        <w:t xml:space="preserve">used to adapt to </w:t>
      </w:r>
      <w:r w:rsidR="00484A77">
        <w:t>slow fading</w:t>
      </w:r>
      <w:r w:rsidR="004B0423">
        <w:t xml:space="preserve">: </w:t>
      </w:r>
      <w:r w:rsidR="00484A77">
        <w:t xml:space="preserve">When the wireless channel changes </w:t>
      </w:r>
      <w:r w:rsidR="004B0423">
        <w:t xml:space="preserve">only </w:t>
      </w:r>
      <w:r w:rsidR="00484A77">
        <w:t>slowly, the open loop power control can estimate the channel fading condition well and respond, and the adjusted power dynamic range is large.</w:t>
      </w:r>
      <w:r w:rsidR="004B0423">
        <w:t xml:space="preserve"> </w:t>
      </w:r>
      <w:r w:rsidR="00484A77">
        <w:t xml:space="preserve">The accuracy of this fading estimation is based on the consistent fading of the uplink and downlink. </w:t>
      </w:r>
      <w:r w:rsidR="008140B3">
        <w:t xml:space="preserve">For </w:t>
      </w:r>
      <w:r w:rsidR="00484A77">
        <w:t>LTE FDD</w:t>
      </w:r>
      <w:r w:rsidR="008140B3">
        <w:t>, s</w:t>
      </w:r>
      <w:r w:rsidR="00484A77">
        <w:t xml:space="preserve">ince the frequency difference between the uplink and downlink is much larger than the relevant bandwidth of the signal, the correlation between the uplink and downlink channel fading </w:t>
      </w:r>
      <w:r w:rsidR="004B0423">
        <w:t>may be low</w:t>
      </w:r>
      <w:r w:rsidR="00484A77">
        <w:t xml:space="preserve">, which </w:t>
      </w:r>
      <w:r w:rsidR="004B0423">
        <w:t xml:space="preserve">can </w:t>
      </w:r>
      <w:r w:rsidR="00484A77">
        <w:t xml:space="preserve">result in </w:t>
      </w:r>
      <w:r w:rsidR="004B0423">
        <w:t xml:space="preserve">reduced </w:t>
      </w:r>
      <w:r w:rsidR="00484A77">
        <w:t xml:space="preserve">accuracy </w:t>
      </w:r>
      <w:r w:rsidR="004B0423">
        <w:t>for</w:t>
      </w:r>
      <w:r w:rsidR="00484A77">
        <w:t xml:space="preserve"> the </w:t>
      </w:r>
      <w:r w:rsidR="004B0423">
        <w:t xml:space="preserve">uplink power when </w:t>
      </w:r>
      <w:r w:rsidR="00484A77">
        <w:t>open loop power control</w:t>
      </w:r>
      <w:r w:rsidR="004B0423">
        <w:t xml:space="preserve"> is used</w:t>
      </w:r>
      <w:r w:rsidR="00484A77">
        <w:t>.</w:t>
      </w:r>
    </w:p>
    <w:p w:rsidR="004B0423" w:rsidRPr="004B0423" w:rsidRDefault="004B0423" w:rsidP="00484A77">
      <w:r w:rsidRPr="004B0423">
        <w:rPr>
          <w:b/>
        </w:rPr>
        <w:t>Observation 3:</w:t>
      </w:r>
      <w:r>
        <w:t xml:space="preserve"> Open loop PC works best in fading conditions with only slowly varying channel (e.g. slow UE speed).</w:t>
      </w:r>
    </w:p>
    <w:p w:rsidR="00484A77" w:rsidRPr="00EC06F3" w:rsidRDefault="008140B3" w:rsidP="00484A77">
      <w:r>
        <w:rPr>
          <w:b/>
        </w:rPr>
        <w:t xml:space="preserve">Observation </w:t>
      </w:r>
      <w:r w:rsidR="004B0423">
        <w:rPr>
          <w:b/>
        </w:rPr>
        <w:t>4</w:t>
      </w:r>
      <w:r w:rsidRPr="00B84DB2">
        <w:rPr>
          <w:b/>
        </w:rPr>
        <w:t>:</w:t>
      </w:r>
      <w:r>
        <w:rPr>
          <w:b/>
        </w:rPr>
        <w:t xml:space="preserve"> </w:t>
      </w:r>
      <w:r w:rsidR="00484A77">
        <w:t xml:space="preserve">For </w:t>
      </w:r>
      <w:r>
        <w:t>UEs</w:t>
      </w:r>
      <w:r w:rsidR="00484A77">
        <w:t xml:space="preserve"> located at the edge of the cell, due to the distance and the interference suppression, the base station adopts low-order modulation and a</w:t>
      </w:r>
      <w:r>
        <w:t>llocates fewer PRBs</w:t>
      </w:r>
      <w:r w:rsidR="00484A77">
        <w:t>, resulting in further reduction of the transmit power</w:t>
      </w:r>
      <w:r>
        <w:t xml:space="preserve"> lead</w:t>
      </w:r>
      <w:r w:rsidR="00484A77">
        <w:t xml:space="preserve"> </w:t>
      </w:r>
      <w:r>
        <w:t>worse</w:t>
      </w:r>
      <w:r w:rsidR="00484A77">
        <w:t xml:space="preserve"> insufficient transmit power.</w:t>
      </w:r>
    </w:p>
    <w:p w:rsidR="00994F43" w:rsidRDefault="00874F94" w:rsidP="004A2362">
      <w:r>
        <w:lastRenderedPageBreak/>
        <w:t xml:space="preserve">To alleviate </w:t>
      </w:r>
      <w:proofErr w:type="spellStart"/>
      <w:r>
        <w:t>thse</w:t>
      </w:r>
      <w:proofErr w:type="spellEnd"/>
      <w:r>
        <w:t xml:space="preserve"> issues, w</w:t>
      </w:r>
      <w:r w:rsidR="004A2362">
        <w:t xml:space="preserve">e </w:t>
      </w:r>
      <w:r>
        <w:t xml:space="preserve">would </w:t>
      </w:r>
      <w:r w:rsidR="004A2362">
        <w:t xml:space="preserve">propose to </w:t>
      </w:r>
      <w:r w:rsidR="00994F43">
        <w:t xml:space="preserve">indicate to UE when it </w:t>
      </w:r>
      <w:proofErr w:type="spellStart"/>
      <w:r w:rsidR="00994F43">
        <w:t>shuld</w:t>
      </w:r>
      <w:proofErr w:type="spellEnd"/>
      <w:r w:rsidR="00994F43">
        <w:t xml:space="preserve"> retain the TPC accumulation. This could be always done based on </w:t>
      </w:r>
      <w:proofErr w:type="spellStart"/>
      <w:r w:rsidR="00994F43">
        <w:t>eNB</w:t>
      </w:r>
      <w:proofErr w:type="spellEnd"/>
      <w:r w:rsidR="00994F43">
        <w:t xml:space="preserve"> configuration within the HO command (from either source or target </w:t>
      </w:r>
      <w:proofErr w:type="spellStart"/>
      <w:r w:rsidR="00994F43">
        <w:t>eNB</w:t>
      </w:r>
      <w:proofErr w:type="spellEnd"/>
      <w:r w:rsidR="00994F43">
        <w:t xml:space="preserve">) and applied in case re-establishment is triggered towards the source or target cell (since in both cases the UE would reset the TPC commands, which could make re-establishment success harder). </w:t>
      </w:r>
    </w:p>
    <w:p w:rsidR="004A2362" w:rsidRDefault="00994F43" w:rsidP="004A2362">
      <w:r w:rsidRPr="00994F43">
        <w:rPr>
          <w:b/>
        </w:rPr>
        <w:t>Proposal 1:</w:t>
      </w:r>
      <w:r>
        <w:t xml:space="preserve"> Allow source </w:t>
      </w:r>
      <w:proofErr w:type="spellStart"/>
      <w:r>
        <w:t>eNB</w:t>
      </w:r>
      <w:proofErr w:type="spellEnd"/>
      <w:r>
        <w:t xml:space="preserve"> to indicate that UE should retain TPC accumulation in case UE does re-establishment towards source cell at HO failure (e.g. when “too early HO” or “HO to wrong cell” occurs).</w:t>
      </w:r>
    </w:p>
    <w:p w:rsidR="00994F43" w:rsidRDefault="00994F43" w:rsidP="004A2362">
      <w:r w:rsidRPr="00994F43">
        <w:rPr>
          <w:b/>
        </w:rPr>
        <w:t>Proposal 2:</w:t>
      </w:r>
      <w:r>
        <w:t xml:space="preserve"> Allow target </w:t>
      </w:r>
      <w:proofErr w:type="spellStart"/>
      <w:r>
        <w:t>eNB</w:t>
      </w:r>
      <w:proofErr w:type="spellEnd"/>
      <w:r>
        <w:t xml:space="preserve"> to indicate in HO command that that UE should retain TPC accumulation during handover (to aid in making the HO succeed).</w:t>
      </w:r>
    </w:p>
    <w:p w:rsidR="00994F43" w:rsidRDefault="00994F43" w:rsidP="004A2362">
      <w:r>
        <w:t>In case these proposals are agreed, an LS should also be sent to RAN1 to inform them on the proposal since TPC accumulation is in the domain of RAN1 and would be captured in TS36.213. However, the decision to do this kind of scheme would still be possible in RAN2 since it relates to the overall handover aspects.</w:t>
      </w:r>
    </w:p>
    <w:p w:rsidR="00994F43" w:rsidRDefault="00994F43" w:rsidP="004A2362">
      <w:r w:rsidRPr="00994F43">
        <w:rPr>
          <w:b/>
        </w:rPr>
        <w:t>Proposal 3:</w:t>
      </w:r>
      <w:r>
        <w:t xml:space="preserve"> If P1 or P2 is agreed, send LS to RAN1 to ask them to handle the retaining of the TPC accumulation in their specifications.</w:t>
      </w:r>
    </w:p>
    <w:p w:rsidR="00A209D6" w:rsidRPr="006E13D1" w:rsidRDefault="0048759F" w:rsidP="00A209D6">
      <w:pPr>
        <w:pStyle w:val="Heading1"/>
      </w:pPr>
      <w:r>
        <w:t>3</w:t>
      </w:r>
      <w:r w:rsidR="00A209D6" w:rsidRPr="006E13D1">
        <w:tab/>
      </w:r>
      <w:r>
        <w:t>Conclusions</w:t>
      </w:r>
    </w:p>
    <w:p w:rsidR="00994F43" w:rsidRDefault="00994F43" w:rsidP="00A209D6">
      <w:r>
        <w:t>We have discussed the matter of TPC accumulation during handover and re-establishment, and observed the following along with some proposals based on the discussion:</w:t>
      </w:r>
      <w:r w:rsidR="00A209D6" w:rsidRPr="006E13D1">
        <w:t xml:space="preserve"> </w:t>
      </w:r>
    </w:p>
    <w:p w:rsidR="00994F43" w:rsidRDefault="00994F43" w:rsidP="00994F43">
      <w:r>
        <w:rPr>
          <w:b/>
        </w:rPr>
        <w:t>Observation 1</w:t>
      </w:r>
      <w:r w:rsidRPr="00B84DB2">
        <w:rPr>
          <w:b/>
        </w:rPr>
        <w:t>:</w:t>
      </w:r>
      <w:r>
        <w:rPr>
          <w:b/>
        </w:rPr>
        <w:t xml:space="preserve"> </w:t>
      </w:r>
      <w:r w:rsidRPr="003A4B2A">
        <w:t>If d</w:t>
      </w:r>
      <w:r w:rsidRPr="00E33BF2">
        <w:t>ifferent P0_UE value</w:t>
      </w:r>
      <w:r>
        <w:t>s are used</w:t>
      </w:r>
      <w:r w:rsidRPr="00E33BF2">
        <w:t xml:space="preserve"> in </w:t>
      </w:r>
      <w:r>
        <w:t xml:space="preserve">source and </w:t>
      </w:r>
      <w:r w:rsidRPr="00E33BF2">
        <w:t>target cell</w:t>
      </w:r>
      <w:r>
        <w:t>s, UE</w:t>
      </w:r>
      <w:r w:rsidRPr="00E33BF2">
        <w:t xml:space="preserve"> will </w:t>
      </w:r>
      <w:r>
        <w:t>reset the TPC</w:t>
      </w:r>
      <w:r w:rsidRPr="00E33BF2">
        <w:t xml:space="preserve"> accumulation </w:t>
      </w:r>
      <w:r>
        <w:t>during handover.</w:t>
      </w:r>
    </w:p>
    <w:p w:rsidR="00994F43" w:rsidRDefault="00994F43" w:rsidP="00994F43">
      <w:r w:rsidRPr="004B0423">
        <w:rPr>
          <w:b/>
        </w:rPr>
        <w:t>Observation 2:</w:t>
      </w:r>
      <w:r>
        <w:t xml:space="preserve"> Resetting the TPC accumulation at handover may lead to RLF with different P0 at source and target cell.</w:t>
      </w:r>
    </w:p>
    <w:p w:rsidR="00994F43" w:rsidRPr="004B0423" w:rsidRDefault="00994F43" w:rsidP="00994F43">
      <w:r w:rsidRPr="004B0423">
        <w:rPr>
          <w:b/>
        </w:rPr>
        <w:t>Observation 3:</w:t>
      </w:r>
      <w:r>
        <w:t xml:space="preserve"> Open loop PC works best in fading conditions with only slowly varying channel (e.g. slow UE speed).</w:t>
      </w:r>
    </w:p>
    <w:p w:rsidR="00994F43" w:rsidRPr="00EC06F3" w:rsidRDefault="00994F43" w:rsidP="00994F43">
      <w:r>
        <w:rPr>
          <w:b/>
        </w:rPr>
        <w:t>Observation 4</w:t>
      </w:r>
      <w:r w:rsidRPr="00B84DB2">
        <w:rPr>
          <w:b/>
        </w:rPr>
        <w:t>:</w:t>
      </w:r>
      <w:r>
        <w:rPr>
          <w:b/>
        </w:rPr>
        <w:t xml:space="preserve"> </w:t>
      </w:r>
      <w:r>
        <w:t>For UEs located at the edge of the cell, due to the distance and the interference suppression, the base station adopts low-order modulation and allocates fewer PRBs, resulting in further reduction of the transmit power lead worse insufficient transmit power.</w:t>
      </w:r>
    </w:p>
    <w:p w:rsidR="00994F43" w:rsidRDefault="00994F43" w:rsidP="00994F43">
      <w:r w:rsidRPr="00994F43">
        <w:rPr>
          <w:b/>
        </w:rPr>
        <w:t>Proposal 1:</w:t>
      </w:r>
      <w:r>
        <w:t xml:space="preserve"> Allow source </w:t>
      </w:r>
      <w:proofErr w:type="spellStart"/>
      <w:r>
        <w:t>eNB</w:t>
      </w:r>
      <w:proofErr w:type="spellEnd"/>
      <w:r>
        <w:t xml:space="preserve"> to indicate that UE should retain TPC accumulation in case UE does re-establishment towards source cell at HO failure (e.g. when “too early HO” or “HO to wrong cell” occurs).</w:t>
      </w:r>
    </w:p>
    <w:p w:rsidR="00994F43" w:rsidRDefault="00994F43" w:rsidP="00994F43">
      <w:r w:rsidRPr="00994F43">
        <w:rPr>
          <w:b/>
        </w:rPr>
        <w:t>Proposal 2:</w:t>
      </w:r>
      <w:r>
        <w:t xml:space="preserve"> Allow target </w:t>
      </w:r>
      <w:proofErr w:type="spellStart"/>
      <w:r>
        <w:t>eNB</w:t>
      </w:r>
      <w:proofErr w:type="spellEnd"/>
      <w:r>
        <w:t xml:space="preserve"> to indicate in HO command that that UE should retain TPC accumulation during handover (to aid in making the HO succeed).</w:t>
      </w:r>
    </w:p>
    <w:p w:rsidR="00994F43" w:rsidRDefault="00994F43" w:rsidP="00994F43">
      <w:r w:rsidRPr="00994F43">
        <w:rPr>
          <w:b/>
        </w:rPr>
        <w:t>Proposal 3:</w:t>
      </w:r>
      <w:r>
        <w:t xml:space="preserve"> If P1 or P2 is agreed, send LS to RAN1 to ask them to handle the retaining of the TPC accumulation in their specifications.</w:t>
      </w:r>
    </w:p>
    <w:sectPr w:rsidR="00994F4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0559" w:rsidRDefault="00A70559">
      <w:r>
        <w:separator/>
      </w:r>
    </w:p>
  </w:endnote>
  <w:endnote w:type="continuationSeparator" w:id="0">
    <w:p w:rsidR="00A70559" w:rsidRDefault="00A7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0559" w:rsidRDefault="00A70559">
      <w:r>
        <w:separator/>
      </w:r>
    </w:p>
  </w:footnote>
  <w:footnote w:type="continuationSeparator" w:id="0">
    <w:p w:rsidR="00A70559" w:rsidRDefault="00A7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221B"/>
    <w:rsid w:val="00073C9C"/>
    <w:rsid w:val="00080512"/>
    <w:rsid w:val="00085092"/>
    <w:rsid w:val="00090468"/>
    <w:rsid w:val="000B7BCF"/>
    <w:rsid w:val="000C2CF1"/>
    <w:rsid w:val="000C522B"/>
    <w:rsid w:val="000D58AB"/>
    <w:rsid w:val="000E1C6B"/>
    <w:rsid w:val="00100B43"/>
    <w:rsid w:val="00112F1A"/>
    <w:rsid w:val="00145075"/>
    <w:rsid w:val="00146C6E"/>
    <w:rsid w:val="001741A0"/>
    <w:rsid w:val="00175FA0"/>
    <w:rsid w:val="001808F2"/>
    <w:rsid w:val="00194CD0"/>
    <w:rsid w:val="001B49C9"/>
    <w:rsid w:val="001C4F79"/>
    <w:rsid w:val="001D6400"/>
    <w:rsid w:val="001F168B"/>
    <w:rsid w:val="001F7831"/>
    <w:rsid w:val="00204045"/>
    <w:rsid w:val="0020712B"/>
    <w:rsid w:val="0022606D"/>
    <w:rsid w:val="00231728"/>
    <w:rsid w:val="0025568E"/>
    <w:rsid w:val="002610D8"/>
    <w:rsid w:val="00265F8E"/>
    <w:rsid w:val="00266A37"/>
    <w:rsid w:val="002747EC"/>
    <w:rsid w:val="002855BF"/>
    <w:rsid w:val="002A3480"/>
    <w:rsid w:val="002C1102"/>
    <w:rsid w:val="002F0D22"/>
    <w:rsid w:val="00306C83"/>
    <w:rsid w:val="003172DC"/>
    <w:rsid w:val="00324D47"/>
    <w:rsid w:val="00325AE3"/>
    <w:rsid w:val="00326069"/>
    <w:rsid w:val="0034714A"/>
    <w:rsid w:val="0035462D"/>
    <w:rsid w:val="00364B41"/>
    <w:rsid w:val="00383096"/>
    <w:rsid w:val="003A41EF"/>
    <w:rsid w:val="003A4B2A"/>
    <w:rsid w:val="003B40AD"/>
    <w:rsid w:val="003C1159"/>
    <w:rsid w:val="003C4E37"/>
    <w:rsid w:val="003E16BE"/>
    <w:rsid w:val="003F4E28"/>
    <w:rsid w:val="004006E8"/>
    <w:rsid w:val="00401855"/>
    <w:rsid w:val="0046370A"/>
    <w:rsid w:val="00465587"/>
    <w:rsid w:val="00477455"/>
    <w:rsid w:val="00484A77"/>
    <w:rsid w:val="0048759F"/>
    <w:rsid w:val="004A1F7B"/>
    <w:rsid w:val="004A2362"/>
    <w:rsid w:val="004B0423"/>
    <w:rsid w:val="004C44D2"/>
    <w:rsid w:val="004D3578"/>
    <w:rsid w:val="004D380D"/>
    <w:rsid w:val="004D4ECB"/>
    <w:rsid w:val="004E213A"/>
    <w:rsid w:val="00503171"/>
    <w:rsid w:val="00506C28"/>
    <w:rsid w:val="00515760"/>
    <w:rsid w:val="00534086"/>
    <w:rsid w:val="00534DA0"/>
    <w:rsid w:val="00543E6C"/>
    <w:rsid w:val="00565087"/>
    <w:rsid w:val="0056573F"/>
    <w:rsid w:val="005F2E2F"/>
    <w:rsid w:val="00602D21"/>
    <w:rsid w:val="00611566"/>
    <w:rsid w:val="00646D99"/>
    <w:rsid w:val="006506F7"/>
    <w:rsid w:val="00656910"/>
    <w:rsid w:val="006B3E5B"/>
    <w:rsid w:val="006B5AE2"/>
    <w:rsid w:val="006C66D8"/>
    <w:rsid w:val="006D05FC"/>
    <w:rsid w:val="006D1E24"/>
    <w:rsid w:val="006D51F7"/>
    <w:rsid w:val="006E1417"/>
    <w:rsid w:val="006F6A2C"/>
    <w:rsid w:val="00702A4C"/>
    <w:rsid w:val="0070345D"/>
    <w:rsid w:val="00710201"/>
    <w:rsid w:val="00711FC3"/>
    <w:rsid w:val="0072073A"/>
    <w:rsid w:val="007342B5"/>
    <w:rsid w:val="00734A5B"/>
    <w:rsid w:val="00744E76"/>
    <w:rsid w:val="00757D40"/>
    <w:rsid w:val="00757F0A"/>
    <w:rsid w:val="007755DD"/>
    <w:rsid w:val="007815A5"/>
    <w:rsid w:val="00781F0F"/>
    <w:rsid w:val="0078727C"/>
    <w:rsid w:val="0079049D"/>
    <w:rsid w:val="0079204C"/>
    <w:rsid w:val="00793DC5"/>
    <w:rsid w:val="007B18D8"/>
    <w:rsid w:val="007B2B92"/>
    <w:rsid w:val="007C095F"/>
    <w:rsid w:val="007C2DD0"/>
    <w:rsid w:val="007C4202"/>
    <w:rsid w:val="007E2D6E"/>
    <w:rsid w:val="007E3B1E"/>
    <w:rsid w:val="008028A4"/>
    <w:rsid w:val="008049FA"/>
    <w:rsid w:val="00813245"/>
    <w:rsid w:val="008140B3"/>
    <w:rsid w:val="00841AEA"/>
    <w:rsid w:val="00860950"/>
    <w:rsid w:val="008705F4"/>
    <w:rsid w:val="00874F94"/>
    <w:rsid w:val="008768CA"/>
    <w:rsid w:val="00877EF9"/>
    <w:rsid w:val="00880559"/>
    <w:rsid w:val="008B5306"/>
    <w:rsid w:val="008D2E4D"/>
    <w:rsid w:val="008F396F"/>
    <w:rsid w:val="0090271F"/>
    <w:rsid w:val="00902DB9"/>
    <w:rsid w:val="0090466A"/>
    <w:rsid w:val="00936071"/>
    <w:rsid w:val="00940212"/>
    <w:rsid w:val="00942EC2"/>
    <w:rsid w:val="009443DA"/>
    <w:rsid w:val="00960017"/>
    <w:rsid w:val="00961B32"/>
    <w:rsid w:val="00962509"/>
    <w:rsid w:val="00970DB3"/>
    <w:rsid w:val="00974BB0"/>
    <w:rsid w:val="00980964"/>
    <w:rsid w:val="00994F43"/>
    <w:rsid w:val="00995871"/>
    <w:rsid w:val="009A0AF3"/>
    <w:rsid w:val="009B07CD"/>
    <w:rsid w:val="009C19E9"/>
    <w:rsid w:val="009D74A6"/>
    <w:rsid w:val="009F531A"/>
    <w:rsid w:val="00A10F02"/>
    <w:rsid w:val="00A204CA"/>
    <w:rsid w:val="00A209D6"/>
    <w:rsid w:val="00A211BE"/>
    <w:rsid w:val="00A53724"/>
    <w:rsid w:val="00A54B2B"/>
    <w:rsid w:val="00A60A1D"/>
    <w:rsid w:val="00A70559"/>
    <w:rsid w:val="00A82346"/>
    <w:rsid w:val="00A9671C"/>
    <w:rsid w:val="00AA1553"/>
    <w:rsid w:val="00AB14E1"/>
    <w:rsid w:val="00AD2DE4"/>
    <w:rsid w:val="00AD7AFE"/>
    <w:rsid w:val="00AF4F64"/>
    <w:rsid w:val="00B05380"/>
    <w:rsid w:val="00B05962"/>
    <w:rsid w:val="00B15449"/>
    <w:rsid w:val="00B27303"/>
    <w:rsid w:val="00B46B55"/>
    <w:rsid w:val="00B47FD1"/>
    <w:rsid w:val="00B516BB"/>
    <w:rsid w:val="00B76BA8"/>
    <w:rsid w:val="00B84DB2"/>
    <w:rsid w:val="00BC3555"/>
    <w:rsid w:val="00BD430B"/>
    <w:rsid w:val="00BF4DF4"/>
    <w:rsid w:val="00C12B51"/>
    <w:rsid w:val="00C24650"/>
    <w:rsid w:val="00C25465"/>
    <w:rsid w:val="00C33079"/>
    <w:rsid w:val="00C83A13"/>
    <w:rsid w:val="00C9068C"/>
    <w:rsid w:val="00C92967"/>
    <w:rsid w:val="00CA3D0C"/>
    <w:rsid w:val="00CA654B"/>
    <w:rsid w:val="00CB72B8"/>
    <w:rsid w:val="00CD4C7B"/>
    <w:rsid w:val="00D3263D"/>
    <w:rsid w:val="00D33BE3"/>
    <w:rsid w:val="00D3792D"/>
    <w:rsid w:val="00D460D0"/>
    <w:rsid w:val="00D55E47"/>
    <w:rsid w:val="00D62E19"/>
    <w:rsid w:val="00D65E3D"/>
    <w:rsid w:val="00D67CD1"/>
    <w:rsid w:val="00D738D6"/>
    <w:rsid w:val="00D80795"/>
    <w:rsid w:val="00D854BE"/>
    <w:rsid w:val="00D87E00"/>
    <w:rsid w:val="00D9134D"/>
    <w:rsid w:val="00D96D11"/>
    <w:rsid w:val="00DA7A03"/>
    <w:rsid w:val="00DB0DB8"/>
    <w:rsid w:val="00DB1818"/>
    <w:rsid w:val="00DC309B"/>
    <w:rsid w:val="00DC4DA2"/>
    <w:rsid w:val="00DF7BAC"/>
    <w:rsid w:val="00E33BF2"/>
    <w:rsid w:val="00E46C08"/>
    <w:rsid w:val="00E471CF"/>
    <w:rsid w:val="00E62835"/>
    <w:rsid w:val="00E753F8"/>
    <w:rsid w:val="00E77645"/>
    <w:rsid w:val="00E83697"/>
    <w:rsid w:val="00EA66C9"/>
    <w:rsid w:val="00EC06F3"/>
    <w:rsid w:val="00EC2601"/>
    <w:rsid w:val="00EC4A25"/>
    <w:rsid w:val="00EE0690"/>
    <w:rsid w:val="00F025A2"/>
    <w:rsid w:val="00F07388"/>
    <w:rsid w:val="00F2026E"/>
    <w:rsid w:val="00F2210A"/>
    <w:rsid w:val="00F22936"/>
    <w:rsid w:val="00F37743"/>
    <w:rsid w:val="00F54A3D"/>
    <w:rsid w:val="00F54CB0"/>
    <w:rsid w:val="00F653B8"/>
    <w:rsid w:val="00F71B89"/>
    <w:rsid w:val="00F7353C"/>
    <w:rsid w:val="00F76F8F"/>
    <w:rsid w:val="00F85E04"/>
    <w:rsid w:val="00F941DF"/>
    <w:rsid w:val="00FA1266"/>
    <w:rsid w:val="00FB1E07"/>
    <w:rsid w:val="00FB36FA"/>
    <w:rsid w:val="00FC1192"/>
    <w:rsid w:val="00FC35A3"/>
    <w:rsid w:val="00FE251B"/>
    <w:rsid w:val="00FF28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3B7C9"/>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F2E2F"/>
    <w:rPr>
      <w:color w:val="954F72" w:themeColor="followedHyperlink"/>
      <w:u w:val="single"/>
    </w:rPr>
  </w:style>
  <w:style w:type="character" w:styleId="UnresolvedMention">
    <w:name w:val="Unresolved Mention"/>
    <w:basedOn w:val="DefaultParagraphFont"/>
    <w:rsid w:val="002A34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81/docs/RP-18154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5AIRPNAIUNRU-859666464-5424</_dlc_DocId>
    <_dlc_DocIdUrl xmlns="71c5aaf6-e6ce-465b-b873-5148d2a4c105">
      <Url>https://nokia.sharepoint.com/sites/c5g/e2earch/_layouts/15/DocIdRedir.aspx?ID=5AIRPNAIUNRU-859666464-5424</Url>
      <Description>5AIRPNAIUNRU-859666464-5424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Su, Lei (NSB - CN/Beijing)</dc:creator>
  <cp:lastModifiedBy>Stanczak, Jedrzej (Nokia - PL/Wroclaw)</cp:lastModifiedBy>
  <cp:revision>9</cp:revision>
  <dcterms:created xsi:type="dcterms:W3CDTF">2019-05-02T11:30:00Z</dcterms:created>
  <dcterms:modified xsi:type="dcterms:W3CDTF">2019-08-15T19:07:00Z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9f57531e-a24e-4a74-be05-b69d2c17740a</vt:lpwstr>
  </property>
</Properties>
</file>